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  <w:bookmarkStart w:id="0" w:name="_GoBack"/>
            <w:bookmarkEnd w:id="0"/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F641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</w:p>
        </w:tc>
      </w:tr>
    </w:tbl>
    <w:p w:rsidR="00401F24" w:rsidRDefault="00401F24" w:rsidP="00401F24"/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Teil </w:t>
      </w:r>
      <w:r w:rsidR="001F6419">
        <w:rPr>
          <w:b/>
          <w:sz w:val="48"/>
          <w:szCs w:val="48"/>
        </w:rPr>
        <w:t>B</w:t>
      </w:r>
      <w:r>
        <w:rPr>
          <w:b/>
          <w:sz w:val="48"/>
          <w:szCs w:val="48"/>
        </w:rPr>
        <w:t xml:space="preserve"> </w:t>
      </w: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1F6419" w:rsidP="00282A2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Alarm</w:t>
      </w:r>
      <w:r w:rsidR="00282A29">
        <w:rPr>
          <w:b/>
          <w:sz w:val="48"/>
          <w:szCs w:val="48"/>
        </w:rPr>
        <w:t>plan</w:t>
      </w:r>
    </w:p>
    <w:p w:rsidR="00282A29" w:rsidRDefault="00282A29" w:rsidP="00282A29">
      <w:pPr>
        <w:jc w:val="center"/>
        <w:rPr>
          <w:b/>
          <w:sz w:val="48"/>
          <w:szCs w:val="48"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Default="00282A29" w:rsidP="00282A29">
      <w:pPr>
        <w:rPr>
          <w:b/>
        </w:rPr>
      </w:pPr>
    </w:p>
    <w:p w:rsidR="00282A29" w:rsidRPr="00282A29" w:rsidRDefault="00282A29" w:rsidP="00282A29">
      <w:pPr>
        <w:rPr>
          <w:u w:val="single"/>
        </w:rPr>
      </w:pPr>
      <w:r w:rsidRPr="00282A29">
        <w:rPr>
          <w:u w:val="single"/>
        </w:rPr>
        <w:t>Inhalt:</w:t>
      </w:r>
    </w:p>
    <w:p w:rsidR="00282A29" w:rsidRPr="00282A29" w:rsidRDefault="00282A29" w:rsidP="00282A29"/>
    <w:p w:rsidR="00282A29" w:rsidRDefault="001F6419" w:rsidP="00BB2ED9">
      <w:pPr>
        <w:pStyle w:val="Listenabsatz"/>
        <w:numPr>
          <w:ilvl w:val="0"/>
          <w:numId w:val="2"/>
        </w:numPr>
      </w:pPr>
      <w:r>
        <w:t>Maßnahmenkatalog bei Brandalarm</w:t>
      </w:r>
    </w:p>
    <w:p w:rsidR="00282A29" w:rsidRPr="00282A29" w:rsidRDefault="001F6419" w:rsidP="00BB2ED9">
      <w:pPr>
        <w:pStyle w:val="Listenabsatz"/>
        <w:numPr>
          <w:ilvl w:val="0"/>
          <w:numId w:val="2"/>
        </w:numPr>
      </w:pPr>
      <w:r>
        <w:t>Einzelanweisungen bei Brandalarm</w:t>
      </w:r>
    </w:p>
    <w:sectPr w:rsidR="00282A29" w:rsidRPr="00282A2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754" w:rsidRDefault="00C06754">
      <w:r>
        <w:separator/>
      </w:r>
    </w:p>
  </w:endnote>
  <w:endnote w:type="continuationSeparator" w:id="0">
    <w:p w:rsidR="00C06754" w:rsidRDefault="00C0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754" w:rsidRDefault="00C06754">
      <w:r>
        <w:rPr>
          <w:color w:val="000000"/>
        </w:rPr>
        <w:ptab w:relativeTo="margin" w:alignment="center" w:leader="none"/>
      </w:r>
    </w:p>
  </w:footnote>
  <w:footnote w:type="continuationSeparator" w:id="0">
    <w:p w:rsidR="00C06754" w:rsidRDefault="00C0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93602"/>
    <w:rsid w:val="000E0C82"/>
    <w:rsid w:val="0016531C"/>
    <w:rsid w:val="001F6419"/>
    <w:rsid w:val="00270EB5"/>
    <w:rsid w:val="00282A29"/>
    <w:rsid w:val="00385DC7"/>
    <w:rsid w:val="00401F24"/>
    <w:rsid w:val="004D3818"/>
    <w:rsid w:val="006C3AAB"/>
    <w:rsid w:val="007A1F96"/>
    <w:rsid w:val="007D7136"/>
    <w:rsid w:val="00805313"/>
    <w:rsid w:val="0081330F"/>
    <w:rsid w:val="00944D9A"/>
    <w:rsid w:val="009C0AE7"/>
    <w:rsid w:val="009E3CEE"/>
    <w:rsid w:val="00AD72EC"/>
    <w:rsid w:val="00B7254A"/>
    <w:rsid w:val="00B96989"/>
    <w:rsid w:val="00BB2ED9"/>
    <w:rsid w:val="00C06754"/>
    <w:rsid w:val="00C36BCB"/>
    <w:rsid w:val="00E22A59"/>
    <w:rsid w:val="00F45EFD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2016-11-07T09:53:00Z</dcterms:created>
  <dcterms:modified xsi:type="dcterms:W3CDTF">2016-11-08T13:15:00Z</dcterms:modified>
</cp:coreProperties>
</file>