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C1551C" w:rsidRPr="00C1551C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C1551C" w:rsidRDefault="00C36BCB" w:rsidP="00270EB5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C1551C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C1551C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270EB5" w:rsidRPr="00C1551C">
              <w:rPr>
                <w:szCs w:val="22"/>
                <w:highlight w:val="lightGray"/>
                <w:shd w:val="clear" w:color="auto" w:fill="FF0000"/>
              </w:rPr>
              <w:t>4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270EB5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Rettungs- und Angriffswege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70EB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Rettungs- und Angriffswege</w:t>
            </w:r>
          </w:p>
        </w:tc>
      </w:tr>
    </w:tbl>
    <w:p w:rsidR="00270EB5" w:rsidRDefault="00270EB5" w:rsidP="00270EB5">
      <w:pPr>
        <w:autoSpaceDE w:val="0"/>
        <w:adjustRightInd w:val="0"/>
        <w:jc w:val="both"/>
        <w:rPr>
          <w:rFonts w:cs="Arial"/>
          <w:color w:val="000000"/>
        </w:rPr>
      </w:pPr>
    </w:p>
    <w:p w:rsidR="00270EB5" w:rsidRDefault="00270EB5" w:rsidP="00270EB5">
      <w:pPr>
        <w:pStyle w:val="Standard-Spalte"/>
        <w:jc w:val="both"/>
        <w:rPr>
          <w:color w:val="000000"/>
        </w:rPr>
      </w:pPr>
      <w:r w:rsidRPr="009A3D5D">
        <w:rPr>
          <w:color w:val="000000"/>
        </w:rPr>
        <w:t xml:space="preserve">Rettungswege in Gebäuden sind im Brandfall von entscheidender Bedeutung für die Sicherheit der Bewohner/innen. Anforderungen an die Rettungswege wurden mit der Baugenehmigung festgelegt. </w:t>
      </w:r>
    </w:p>
    <w:p w:rsidR="00270EB5" w:rsidRDefault="00270EB5" w:rsidP="00270EB5">
      <w:pPr>
        <w:pStyle w:val="Standard-Spalte"/>
        <w:jc w:val="both"/>
        <w:rPr>
          <w:color w:val="000000"/>
        </w:rPr>
      </w:pPr>
    </w:p>
    <w:p w:rsidR="00270EB5" w:rsidRDefault="00270EB5" w:rsidP="00270EB5">
      <w:pPr>
        <w:pStyle w:val="Standard-Spalte"/>
        <w:jc w:val="both"/>
        <w:rPr>
          <w:color w:val="000000"/>
        </w:rPr>
      </w:pPr>
      <w:r w:rsidRPr="009A3D5D">
        <w:rPr>
          <w:color w:val="000000"/>
        </w:rPr>
        <w:t xml:space="preserve">Damit die Rettungswege ihre Funktion erfüllen können, sind folgende Punkte zu beachten: </w:t>
      </w:r>
    </w:p>
    <w:p w:rsidR="00270EB5" w:rsidRPr="009A3D5D" w:rsidRDefault="00270EB5" w:rsidP="00270EB5">
      <w:pPr>
        <w:pStyle w:val="Default"/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270EB5" w:rsidRPr="009A3D5D" w:rsidTr="00EC431D">
        <w:trPr>
          <w:trHeight w:val="332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EB5" w:rsidRDefault="00270EB5" w:rsidP="00EC431D">
            <w:pPr>
              <w:pStyle w:val="Spiegelstrich"/>
              <w:rPr>
                <w:b/>
                <w:bCs/>
                <w:color w:val="000000"/>
              </w:rPr>
            </w:pPr>
          </w:p>
          <w:p w:rsidR="00270EB5" w:rsidRDefault="00270EB5" w:rsidP="00EC431D">
            <w:pPr>
              <w:pStyle w:val="Spiegelstrich"/>
              <w:rPr>
                <w:b/>
                <w:bCs/>
                <w:color w:val="000000"/>
              </w:rPr>
            </w:pPr>
            <w:r w:rsidRPr="009A3D5D">
              <w:rPr>
                <w:b/>
                <w:bCs/>
                <w:color w:val="000000"/>
              </w:rPr>
              <w:t>Rettungswege müssen:</w:t>
            </w:r>
          </w:p>
          <w:p w:rsidR="00270EB5" w:rsidRPr="009A3D5D" w:rsidRDefault="00270EB5" w:rsidP="00EC431D">
            <w:pPr>
              <w:pStyle w:val="Spiegelstrich"/>
              <w:rPr>
                <w:color w:val="000000"/>
              </w:rPr>
            </w:pPr>
            <w:r w:rsidRPr="009A3D5D">
              <w:rPr>
                <w:b/>
                <w:bCs/>
                <w:color w:val="000000"/>
              </w:rPr>
              <w:t xml:space="preserve"> </w:t>
            </w:r>
          </w:p>
        </w:tc>
      </w:tr>
      <w:tr w:rsidR="00270EB5" w:rsidRPr="009A3D5D" w:rsidTr="00EC431D">
        <w:trPr>
          <w:trHeight w:val="860"/>
        </w:trPr>
        <w:tc>
          <w:tcPr>
            <w:tcW w:w="9365" w:type="dxa"/>
            <w:tcBorders>
              <w:left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 xml:space="preserve">Die Flüchtenden vor Flammen, Wärmestrahlung und Rauch schützen (z.B. Anforderungen an das Brandverhalten und die Feuerwiderstandsdauer von Decken, Wänden und Türen) </w:t>
            </w:r>
            <w:bookmarkStart w:id="0" w:name="_GoBack"/>
            <w:bookmarkEnd w:id="0"/>
          </w:p>
          <w:p w:rsidR="00270EB5" w:rsidRPr="009A3D5D" w:rsidRDefault="00270EB5" w:rsidP="00EC431D">
            <w:pPr>
              <w:pStyle w:val="Default"/>
            </w:pPr>
          </w:p>
        </w:tc>
      </w:tr>
      <w:tr w:rsidR="00270EB5" w:rsidRPr="009A3D5D" w:rsidTr="00EC431D">
        <w:trPr>
          <w:trHeight w:val="998"/>
        </w:trPr>
        <w:tc>
          <w:tcPr>
            <w:tcW w:w="9365" w:type="dxa"/>
            <w:tcBorders>
              <w:left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 xml:space="preserve">rauchfrei bleiben (Rauch soll nicht eindringen können. Eventuell eingedrungener Rauch muss abgeführt werden können. In jedem Geschoss und an oberster Stelle: Fenster, die geöffnet werden können, und/oder Rauchabzug) </w:t>
            </w:r>
          </w:p>
          <w:p w:rsidR="00270EB5" w:rsidRPr="009A3D5D" w:rsidRDefault="00270EB5" w:rsidP="00EC431D">
            <w:pPr>
              <w:pStyle w:val="Default"/>
            </w:pPr>
          </w:p>
        </w:tc>
      </w:tr>
      <w:tr w:rsidR="00270EB5" w:rsidRPr="009A3D5D" w:rsidTr="00EC431D">
        <w:trPr>
          <w:trHeight w:val="998"/>
        </w:trPr>
        <w:tc>
          <w:tcPr>
            <w:tcW w:w="9365" w:type="dxa"/>
            <w:tcBorders>
              <w:left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 xml:space="preserve">frei von Brandlasten sein (keine brennbaren Stoffe und Verkleidungen, keine Lagerung von brennbaren Stoffen, keine brennbaren Installationen bzw. Schutz durch feuerbeständige Ummantelung) </w:t>
            </w:r>
          </w:p>
          <w:p w:rsidR="00270EB5" w:rsidRPr="009A3D5D" w:rsidRDefault="00270EB5" w:rsidP="00EC431D">
            <w:pPr>
              <w:pStyle w:val="Default"/>
            </w:pPr>
          </w:p>
        </w:tc>
      </w:tr>
      <w:tr w:rsidR="00270EB5" w:rsidRPr="009A3D5D" w:rsidTr="00EC431D">
        <w:trPr>
          <w:trHeight w:val="631"/>
        </w:trPr>
        <w:tc>
          <w:tcPr>
            <w:tcW w:w="9365" w:type="dxa"/>
            <w:tcBorders>
              <w:left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 xml:space="preserve">immer benutzbar sein (jederzeit möglicher und gesicherter Zugang/Ausgang zum Flur/Treppenraum/Ausgang ins Freie) </w:t>
            </w:r>
          </w:p>
          <w:p w:rsidR="00270EB5" w:rsidRPr="009A3D5D" w:rsidRDefault="00270EB5" w:rsidP="00EC431D">
            <w:pPr>
              <w:pStyle w:val="Default"/>
            </w:pPr>
          </w:p>
        </w:tc>
      </w:tr>
      <w:tr w:rsidR="00270EB5" w:rsidRPr="009A3D5D" w:rsidTr="00EC431D">
        <w:trPr>
          <w:trHeight w:val="630"/>
        </w:trPr>
        <w:tc>
          <w:tcPr>
            <w:tcW w:w="9365" w:type="dxa"/>
            <w:tcBorders>
              <w:left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 xml:space="preserve">sicher begehbar sein (einwandfreier Zustand, Handläufe, nicht verstellt, keine Lagerung) </w:t>
            </w:r>
          </w:p>
          <w:p w:rsidR="00270EB5" w:rsidRPr="009A3D5D" w:rsidRDefault="00270EB5" w:rsidP="00EC431D">
            <w:pPr>
              <w:pStyle w:val="Default"/>
            </w:pPr>
          </w:p>
        </w:tc>
      </w:tr>
      <w:tr w:rsidR="00270EB5" w:rsidRPr="009A3D5D" w:rsidTr="00EC431D">
        <w:trPr>
          <w:trHeight w:val="446"/>
        </w:trPr>
        <w:tc>
          <w:tcPr>
            <w:tcW w:w="9365" w:type="dxa"/>
            <w:tcBorders>
              <w:left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 xml:space="preserve">belichtet und/oder beleuchtet sein (Sicherheitsbeleuchtung) </w:t>
            </w:r>
          </w:p>
          <w:p w:rsidR="00270EB5" w:rsidRPr="009A3D5D" w:rsidRDefault="00270EB5" w:rsidP="00EC431D">
            <w:pPr>
              <w:pStyle w:val="Default"/>
            </w:pPr>
          </w:p>
        </w:tc>
      </w:tr>
      <w:tr w:rsidR="00270EB5" w:rsidRPr="009A3D5D" w:rsidTr="00EC431D">
        <w:trPr>
          <w:trHeight w:val="446"/>
        </w:trPr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EB5" w:rsidRPr="00270EB5" w:rsidRDefault="00270EB5" w:rsidP="00270EB5">
            <w:pPr>
              <w:pStyle w:val="Default"/>
              <w:numPr>
                <w:ilvl w:val="0"/>
                <w:numId w:val="44"/>
              </w:numPr>
              <w:rPr>
                <w:color w:val="auto"/>
              </w:rPr>
            </w:pPr>
            <w:r w:rsidRPr="00270EB5">
              <w:t>gekennzeich</w:t>
            </w:r>
            <w:r w:rsidR="00AD72EC">
              <w:t>net sein (Fluchtrichtung)</w:t>
            </w:r>
          </w:p>
          <w:p w:rsidR="00270EB5" w:rsidRPr="009A3D5D" w:rsidRDefault="00270EB5" w:rsidP="00EC431D">
            <w:pPr>
              <w:pStyle w:val="Default"/>
            </w:pPr>
          </w:p>
        </w:tc>
      </w:tr>
    </w:tbl>
    <w:p w:rsidR="00270EB5" w:rsidRPr="00E43CBB" w:rsidRDefault="00270EB5" w:rsidP="00270EB5">
      <w:pPr>
        <w:autoSpaceDE w:val="0"/>
        <w:adjustRightInd w:val="0"/>
        <w:jc w:val="both"/>
        <w:rPr>
          <w:rFonts w:cs="Arial"/>
          <w:color w:val="000000"/>
        </w:rPr>
      </w:pPr>
    </w:p>
    <w:p w:rsidR="00270EB5" w:rsidRDefault="00270EB5" w:rsidP="00270EB5">
      <w:pPr>
        <w:pStyle w:val="Standard-Spalte"/>
        <w:jc w:val="both"/>
        <w:rPr>
          <w:color w:val="000000"/>
        </w:rPr>
      </w:pPr>
    </w:p>
    <w:p w:rsidR="00270EB5" w:rsidRPr="00E43CBB" w:rsidRDefault="00270EB5" w:rsidP="00270EB5">
      <w:pPr>
        <w:pStyle w:val="Standard-Spalte"/>
        <w:jc w:val="both"/>
        <w:rPr>
          <w:color w:val="000000"/>
        </w:rPr>
      </w:pPr>
      <w:r w:rsidRPr="00482ED1">
        <w:rPr>
          <w:b/>
          <w:color w:val="000000"/>
        </w:rPr>
        <w:t>Es ist deshalb auf Folgendes zu achten</w:t>
      </w:r>
      <w:r w:rsidRPr="00E43CBB">
        <w:rPr>
          <w:color w:val="000000"/>
        </w:rPr>
        <w:t xml:space="preserve">: </w:t>
      </w:r>
    </w:p>
    <w:p w:rsidR="00270EB5" w:rsidRPr="00E43CBB" w:rsidRDefault="00270EB5" w:rsidP="00270EB5">
      <w:pPr>
        <w:pStyle w:val="Default"/>
      </w:pPr>
    </w:p>
    <w:p w:rsidR="00270EB5" w:rsidRPr="00E43CBB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 w:rsidRPr="00E43CBB">
        <w:rPr>
          <w:color w:val="000000"/>
        </w:rPr>
        <w:t xml:space="preserve">Flure sind weitgehend und Treppenräume immer brandlastfrei zu halten. </w:t>
      </w:r>
    </w:p>
    <w:p w:rsidR="00270EB5" w:rsidRPr="00E43CBB" w:rsidRDefault="00270EB5" w:rsidP="00270EB5">
      <w:pPr>
        <w:pStyle w:val="Spiegelstrich"/>
        <w:jc w:val="both"/>
        <w:rPr>
          <w:color w:val="000000"/>
        </w:rPr>
      </w:pPr>
    </w:p>
    <w:p w:rsidR="00270EB5" w:rsidRPr="00E43CBB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 w:rsidRPr="00E43CBB">
        <w:rPr>
          <w:color w:val="000000"/>
        </w:rPr>
        <w:t xml:space="preserve">Flure und Treppenräume müssen in ausreichender Breite genutzt werden können damit im Brandfall z.B. Betten und Rollstühle über den Flur geschoben werden können; </w:t>
      </w:r>
    </w:p>
    <w:p w:rsidR="00270EB5" w:rsidRPr="00E43CBB" w:rsidRDefault="00270EB5" w:rsidP="00270EB5">
      <w:pPr>
        <w:pStyle w:val="Spiegelstrich"/>
        <w:jc w:val="both"/>
        <w:rPr>
          <w:color w:val="000000"/>
        </w:rPr>
      </w:pPr>
    </w:p>
    <w:p w:rsidR="00270EB5" w:rsidRPr="00E43CBB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 w:rsidRPr="00E43CBB">
        <w:rPr>
          <w:color w:val="000000"/>
        </w:rPr>
        <w:lastRenderedPageBreak/>
        <w:t xml:space="preserve">Brand- und Rauchschutztüren müssen immer geschlossen sein. Die einzige Ausnahme bilden Türen, die mit einer zugelassenen Feststellanlage (Auslösung durch Rauchmelder) ausgerüstet sind. </w:t>
      </w:r>
    </w:p>
    <w:p w:rsidR="00270EB5" w:rsidRPr="00E43CBB" w:rsidRDefault="00270EB5" w:rsidP="00270EB5">
      <w:pPr>
        <w:pStyle w:val="Spiegelstrich"/>
        <w:jc w:val="both"/>
        <w:rPr>
          <w:color w:val="000000"/>
        </w:rPr>
      </w:pPr>
    </w:p>
    <w:p w:rsidR="00270EB5" w:rsidRPr="00E43CBB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>
        <w:rPr>
          <w:color w:val="000000"/>
        </w:rPr>
        <w:t>Rettungswege sind kennzeichnet</w:t>
      </w:r>
      <w:r w:rsidRPr="00E43CBB">
        <w:rPr>
          <w:color w:val="000000"/>
        </w:rPr>
        <w:t xml:space="preserve"> und in Flucht- und Rettungswegplänen dar</w:t>
      </w:r>
      <w:r>
        <w:rPr>
          <w:color w:val="000000"/>
        </w:rPr>
        <w:t>gestellt</w:t>
      </w:r>
      <w:r w:rsidRPr="00E43CBB">
        <w:rPr>
          <w:color w:val="000000"/>
        </w:rPr>
        <w:t xml:space="preserve">. </w:t>
      </w:r>
    </w:p>
    <w:p w:rsidR="00270EB5" w:rsidRPr="00257DF2" w:rsidRDefault="00270EB5" w:rsidP="00270EB5">
      <w:pPr>
        <w:pStyle w:val="Default"/>
      </w:pPr>
    </w:p>
    <w:p w:rsidR="00270EB5" w:rsidRPr="00257DF2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 w:rsidRPr="00257DF2">
        <w:rPr>
          <w:color w:val="000000"/>
        </w:rPr>
        <w:t xml:space="preserve">Der Verlauf der Rettungswege ist durch hinterleuchtete Fluchtwegbeschilderungen </w:t>
      </w:r>
      <w:r>
        <w:rPr>
          <w:color w:val="000000"/>
        </w:rPr>
        <w:t>kennzeichnet</w:t>
      </w:r>
      <w:r w:rsidRPr="00257DF2">
        <w:rPr>
          <w:color w:val="000000"/>
        </w:rPr>
        <w:t xml:space="preserve"> und zwar so, dass er auch bei Ausfall der allgemeinen Stromversorgung zu erkennen ist. </w:t>
      </w:r>
    </w:p>
    <w:p w:rsidR="00270EB5" w:rsidRPr="00257DF2" w:rsidRDefault="00270EB5" w:rsidP="00270EB5">
      <w:pPr>
        <w:pStyle w:val="Spiegelstrich"/>
        <w:jc w:val="both"/>
        <w:rPr>
          <w:color w:val="000000"/>
        </w:rPr>
      </w:pPr>
    </w:p>
    <w:p w:rsidR="00270EB5" w:rsidRPr="00257DF2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 w:rsidRPr="00257DF2">
        <w:rPr>
          <w:color w:val="000000"/>
        </w:rPr>
        <w:t xml:space="preserve">Türen im Verlauf der Rettungswege </w:t>
      </w:r>
      <w:r>
        <w:rPr>
          <w:color w:val="000000"/>
        </w:rPr>
        <w:t>können</w:t>
      </w:r>
      <w:r w:rsidRPr="00257DF2">
        <w:rPr>
          <w:color w:val="000000"/>
        </w:rPr>
        <w:t xml:space="preserve"> jederzeit ohn</w:t>
      </w:r>
      <w:r>
        <w:rPr>
          <w:color w:val="000000"/>
        </w:rPr>
        <w:t>e Hilfsmittel geöffnet werden</w:t>
      </w:r>
      <w:r w:rsidRPr="00257DF2">
        <w:rPr>
          <w:color w:val="000000"/>
        </w:rPr>
        <w:t xml:space="preserve">. Ausnahmen sind nur unter Verwendung zugelassener elektrischer Verriegelungssysteme möglich. </w:t>
      </w:r>
    </w:p>
    <w:p w:rsidR="00270EB5" w:rsidRPr="00257DF2" w:rsidRDefault="00270EB5" w:rsidP="00270EB5">
      <w:pPr>
        <w:pStyle w:val="Spiegelstrich"/>
        <w:jc w:val="both"/>
        <w:rPr>
          <w:color w:val="000000"/>
        </w:rPr>
      </w:pPr>
    </w:p>
    <w:p w:rsidR="00270EB5" w:rsidRPr="00257DF2" w:rsidRDefault="00270EB5" w:rsidP="00270EB5">
      <w:pPr>
        <w:pStyle w:val="Spiegelstrich"/>
        <w:numPr>
          <w:ilvl w:val="0"/>
          <w:numId w:val="48"/>
        </w:numPr>
        <w:jc w:val="both"/>
        <w:rPr>
          <w:color w:val="000000"/>
        </w:rPr>
      </w:pPr>
      <w:r w:rsidRPr="00257DF2">
        <w:rPr>
          <w:color w:val="000000"/>
        </w:rPr>
        <w:t xml:space="preserve">Treppenräume </w:t>
      </w:r>
      <w:r>
        <w:rPr>
          <w:color w:val="000000"/>
        </w:rPr>
        <w:t xml:space="preserve"> können</w:t>
      </w:r>
      <w:r w:rsidRPr="00257DF2">
        <w:rPr>
          <w:color w:val="000000"/>
        </w:rPr>
        <w:t xml:space="preserve"> über </w:t>
      </w:r>
      <w:proofErr w:type="spellStart"/>
      <w:r w:rsidRPr="00257DF2">
        <w:rPr>
          <w:color w:val="000000"/>
        </w:rPr>
        <w:t>öffenbare</w:t>
      </w:r>
      <w:proofErr w:type="spellEnd"/>
      <w:r w:rsidRPr="00257DF2">
        <w:rPr>
          <w:color w:val="000000"/>
        </w:rPr>
        <w:t xml:space="preserve"> Fenster </w:t>
      </w:r>
      <w:proofErr w:type="spellStart"/>
      <w:r w:rsidRPr="00257DF2">
        <w:rPr>
          <w:color w:val="000000"/>
        </w:rPr>
        <w:t>entraucht</w:t>
      </w:r>
      <w:proofErr w:type="spellEnd"/>
      <w:r w:rsidRPr="00257DF2">
        <w:rPr>
          <w:color w:val="000000"/>
        </w:rPr>
        <w:t xml:space="preserve"> werden. </w:t>
      </w:r>
    </w:p>
    <w:p w:rsidR="00270EB5" w:rsidRPr="00257DF2" w:rsidRDefault="00270EB5" w:rsidP="00270EB5">
      <w:pPr>
        <w:pStyle w:val="Spiegelstrich"/>
        <w:ind w:left="170" w:hanging="170"/>
        <w:jc w:val="both"/>
        <w:rPr>
          <w:color w:val="000000"/>
        </w:rPr>
      </w:pPr>
    </w:p>
    <w:p w:rsidR="00270EB5" w:rsidRDefault="00270EB5" w:rsidP="00270EB5">
      <w:pPr>
        <w:pStyle w:val="berschrift2"/>
        <w:ind w:left="567" w:hanging="577"/>
        <w:rPr>
          <w:rFonts w:cs="Arial"/>
          <w:b w:val="0"/>
          <w:bCs w:val="0"/>
          <w:color w:val="000000"/>
          <w:sz w:val="24"/>
          <w:szCs w:val="24"/>
        </w:rPr>
      </w:pPr>
      <w:r w:rsidRPr="00257DF2">
        <w:rPr>
          <w:rFonts w:cs="Arial"/>
          <w:b w:val="0"/>
          <w:bCs w:val="0"/>
          <w:color w:val="000000"/>
          <w:sz w:val="24"/>
          <w:szCs w:val="24"/>
        </w:rPr>
        <w:t xml:space="preserve">4.2 Außerhalb des Gebäudes </w:t>
      </w:r>
    </w:p>
    <w:p w:rsidR="00270EB5" w:rsidRPr="00257DF2" w:rsidRDefault="00270EB5" w:rsidP="00270EB5"/>
    <w:p w:rsidR="00270EB5" w:rsidRDefault="00270EB5" w:rsidP="00270EB5">
      <w:pPr>
        <w:pStyle w:val="Standard-Spalte"/>
        <w:jc w:val="both"/>
        <w:rPr>
          <w:color w:val="000000"/>
        </w:rPr>
      </w:pPr>
      <w:r w:rsidRPr="00257DF2">
        <w:rPr>
          <w:color w:val="000000"/>
        </w:rPr>
        <w:t>Auch außerhalb des Gebäudes gibt es Rettungswege! Sammelplätze für evakuierte Personen sind kennzeichne</w:t>
      </w:r>
      <w:r>
        <w:rPr>
          <w:color w:val="000000"/>
        </w:rPr>
        <w:t>t</w:t>
      </w:r>
      <w:r w:rsidRPr="00257DF2">
        <w:rPr>
          <w:color w:val="000000"/>
        </w:rPr>
        <w:t xml:space="preserve">. Die Feuerwehr und der Rettungsdienst </w:t>
      </w:r>
      <w:r>
        <w:rPr>
          <w:color w:val="000000"/>
        </w:rPr>
        <w:t>kann</w:t>
      </w:r>
      <w:r w:rsidRPr="00257DF2">
        <w:rPr>
          <w:color w:val="000000"/>
        </w:rPr>
        <w:t xml:space="preserve"> im Notfall ungehindert auf das Gelände und an die Gebäudezugänge gelangen, um einen Löschangriff oder Maßnahmen zur Hilfeleistung durchzuführen zu können. Dazu sind Zufahrten und Aufstell- und Bewegungsflächen für die Feuerwehr </w:t>
      </w:r>
      <w:r>
        <w:rPr>
          <w:color w:val="000000"/>
        </w:rPr>
        <w:t>frei zugänglich</w:t>
      </w:r>
      <w:r w:rsidRPr="00257DF2">
        <w:rPr>
          <w:color w:val="000000"/>
        </w:rPr>
        <w:t>.</w:t>
      </w:r>
    </w:p>
    <w:p w:rsidR="00270EB5" w:rsidRDefault="00270EB5" w:rsidP="00270EB5">
      <w:pPr>
        <w:pStyle w:val="Default"/>
      </w:pPr>
    </w:p>
    <w:p w:rsidR="00270EB5" w:rsidRPr="00257DF2" w:rsidRDefault="00270EB5" w:rsidP="00270EB5">
      <w:pPr>
        <w:pStyle w:val="Standard-Spalte"/>
        <w:jc w:val="both"/>
        <w:rPr>
          <w:color w:val="000000"/>
        </w:rPr>
      </w:pPr>
      <w:r w:rsidRPr="00257DF2">
        <w:rPr>
          <w:color w:val="000000"/>
        </w:rPr>
        <w:t xml:space="preserve">Deshalb sind diese Flächen für die Feuerwehr </w:t>
      </w:r>
    </w:p>
    <w:p w:rsidR="00270EB5" w:rsidRPr="00257DF2" w:rsidRDefault="00270EB5" w:rsidP="00270EB5">
      <w:pPr>
        <w:pStyle w:val="Default"/>
      </w:pPr>
    </w:p>
    <w:p w:rsidR="00270EB5" w:rsidRPr="00257DF2" w:rsidRDefault="00270EB5" w:rsidP="00270EB5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257DF2">
        <w:rPr>
          <w:color w:val="000000"/>
        </w:rPr>
        <w:t xml:space="preserve">mit dem Schild „Feuerwehrzufahrt“ </w:t>
      </w:r>
      <w:r>
        <w:rPr>
          <w:color w:val="000000"/>
        </w:rPr>
        <w:t>gekennzeichnet</w:t>
      </w:r>
      <w:r w:rsidRPr="00257DF2">
        <w:rPr>
          <w:color w:val="000000"/>
        </w:rPr>
        <w:t xml:space="preserve">, </w:t>
      </w:r>
    </w:p>
    <w:p w:rsidR="00270EB5" w:rsidRPr="00257DF2" w:rsidRDefault="00270EB5" w:rsidP="00270EB5">
      <w:pPr>
        <w:pStyle w:val="Spiegelstrich"/>
        <w:ind w:left="170" w:hanging="170"/>
        <w:jc w:val="both"/>
        <w:rPr>
          <w:color w:val="000000"/>
        </w:rPr>
      </w:pPr>
    </w:p>
    <w:p w:rsidR="00270EB5" w:rsidRPr="00257DF2" w:rsidRDefault="00270EB5" w:rsidP="00270EB5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257DF2">
        <w:rPr>
          <w:color w:val="000000"/>
        </w:rPr>
        <w:t xml:space="preserve">immer freizuhalten (ggf. Sicherung durch Sperrpfosten mit Dreikantschlüssel), </w:t>
      </w:r>
    </w:p>
    <w:p w:rsidR="00270EB5" w:rsidRPr="00257DF2" w:rsidRDefault="00270EB5" w:rsidP="00270EB5">
      <w:pPr>
        <w:pStyle w:val="Spiegelstrich"/>
        <w:ind w:left="170" w:hanging="170"/>
        <w:jc w:val="both"/>
        <w:rPr>
          <w:color w:val="000000"/>
        </w:rPr>
      </w:pPr>
    </w:p>
    <w:p w:rsidR="00270EB5" w:rsidRPr="00257DF2" w:rsidRDefault="00270EB5" w:rsidP="00270EB5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257DF2">
        <w:rPr>
          <w:color w:val="000000"/>
        </w:rPr>
        <w:t xml:space="preserve">so zu kennzeichnen, dass sie auch bei Schneedecke erkennbar bleiben. </w:t>
      </w:r>
    </w:p>
    <w:p w:rsidR="00270EB5" w:rsidRPr="00257DF2" w:rsidRDefault="00270EB5" w:rsidP="00270EB5">
      <w:pPr>
        <w:pStyle w:val="Spiegelstrich"/>
        <w:ind w:left="170" w:hanging="170"/>
        <w:jc w:val="both"/>
        <w:rPr>
          <w:color w:val="000000"/>
        </w:rPr>
      </w:pPr>
    </w:p>
    <w:p w:rsidR="00270EB5" w:rsidRPr="00257DF2" w:rsidRDefault="00270EB5" w:rsidP="00270EB5">
      <w:pPr>
        <w:pStyle w:val="berschrift2"/>
        <w:ind w:left="567" w:hanging="577"/>
        <w:rPr>
          <w:rFonts w:cs="Arial"/>
          <w:color w:val="000000"/>
          <w:sz w:val="24"/>
          <w:szCs w:val="24"/>
        </w:rPr>
      </w:pPr>
      <w:r w:rsidRPr="00257DF2">
        <w:rPr>
          <w:rFonts w:cs="Arial"/>
          <w:b w:val="0"/>
          <w:bCs w:val="0"/>
          <w:color w:val="000000"/>
          <w:sz w:val="24"/>
          <w:szCs w:val="24"/>
        </w:rPr>
        <w:t xml:space="preserve">4.3 Zugänglichkeit sicherstellen </w:t>
      </w:r>
    </w:p>
    <w:p w:rsidR="00270EB5" w:rsidRPr="00257DF2" w:rsidRDefault="00270EB5" w:rsidP="00270EB5">
      <w:pPr>
        <w:pStyle w:val="Default"/>
      </w:pPr>
    </w:p>
    <w:p w:rsidR="00270EB5" w:rsidRDefault="00270EB5" w:rsidP="00270EB5">
      <w:pPr>
        <w:pStyle w:val="Default"/>
      </w:pPr>
      <w:r w:rsidRPr="00257DF2">
        <w:t xml:space="preserve">Da das Personal im Brandfall bereits Lösch- oder Evakuierungsmaßnahmen vor Ort einleiten muss, kann es die anrückende Feuerwehr nicht </w:t>
      </w:r>
      <w:r>
        <w:t xml:space="preserve">immer </w:t>
      </w:r>
      <w:r w:rsidRPr="00257DF2">
        <w:t xml:space="preserve">empfangen. Deshalb ist ein Feuerwehrschlüsseldepot mit hinterlegtem Generalschlüssel in der Nähe des Feuerwehrzuganges </w:t>
      </w:r>
      <w:r>
        <w:t>(Haupteingang) vorhanden, oder eine andere zulässige Regelung getroffen</w:t>
      </w:r>
      <w:r w:rsidRPr="00257DF2">
        <w:t>.</w:t>
      </w:r>
    </w:p>
    <w:p w:rsidR="00270EB5" w:rsidRDefault="00270EB5" w:rsidP="00B7254A"/>
    <w:sectPr w:rsidR="00270EB5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A1" w:rsidRDefault="000C27A1">
      <w:r>
        <w:separator/>
      </w:r>
    </w:p>
  </w:endnote>
  <w:endnote w:type="continuationSeparator" w:id="0">
    <w:p w:rsidR="000C27A1" w:rsidRDefault="000C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A1" w:rsidRDefault="000C27A1">
      <w:r>
        <w:rPr>
          <w:color w:val="000000"/>
        </w:rPr>
        <w:ptab w:relativeTo="margin" w:alignment="center" w:leader="none"/>
      </w:r>
    </w:p>
  </w:footnote>
  <w:footnote w:type="continuationSeparator" w:id="0">
    <w:p w:rsidR="000C27A1" w:rsidRDefault="000C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A73F45"/>
    <w:multiLevelType w:val="hybridMultilevel"/>
    <w:tmpl w:val="18084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7D724CB"/>
    <w:multiLevelType w:val="hybridMultilevel"/>
    <w:tmpl w:val="D20EE18A"/>
    <w:lvl w:ilvl="0" w:tplc="2E32A3A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BB0363A"/>
    <w:multiLevelType w:val="hybridMultilevel"/>
    <w:tmpl w:val="FE3E35B2"/>
    <w:lvl w:ilvl="0" w:tplc="2E32A3A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3" w15:restartNumberingAfterBreak="0">
    <w:nsid w:val="30206AE4"/>
    <w:multiLevelType w:val="hybridMultilevel"/>
    <w:tmpl w:val="F34C3E86"/>
    <w:lvl w:ilvl="0" w:tplc="2E32A3A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5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C553940"/>
    <w:multiLevelType w:val="hybridMultilevel"/>
    <w:tmpl w:val="1128A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0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2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5" w15:restartNumberingAfterBreak="0">
    <w:nsid w:val="495C1CDE"/>
    <w:multiLevelType w:val="hybridMultilevel"/>
    <w:tmpl w:val="2A36B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6C4D0C87"/>
    <w:multiLevelType w:val="hybridMultilevel"/>
    <w:tmpl w:val="B73E5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22E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8"/>
  </w:num>
  <w:num w:numId="2">
    <w:abstractNumId w:val="14"/>
  </w:num>
  <w:num w:numId="3">
    <w:abstractNumId w:val="21"/>
  </w:num>
  <w:num w:numId="4">
    <w:abstractNumId w:val="30"/>
  </w:num>
  <w:num w:numId="5">
    <w:abstractNumId w:val="22"/>
  </w:num>
  <w:num w:numId="6">
    <w:abstractNumId w:val="6"/>
  </w:num>
  <w:num w:numId="7">
    <w:abstractNumId w:val="15"/>
  </w:num>
  <w:num w:numId="8">
    <w:abstractNumId w:val="10"/>
  </w:num>
  <w:num w:numId="9">
    <w:abstractNumId w:val="1"/>
  </w:num>
  <w:num w:numId="10">
    <w:abstractNumId w:val="16"/>
  </w:num>
  <w:num w:numId="11">
    <w:abstractNumId w:val="33"/>
  </w:num>
  <w:num w:numId="12">
    <w:abstractNumId w:val="20"/>
  </w:num>
  <w:num w:numId="13">
    <w:abstractNumId w:val="0"/>
  </w:num>
  <w:num w:numId="14">
    <w:abstractNumId w:val="28"/>
  </w:num>
  <w:num w:numId="15">
    <w:abstractNumId w:val="31"/>
  </w:num>
  <w:num w:numId="16">
    <w:abstractNumId w:val="26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8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9"/>
  </w:num>
  <w:num w:numId="24">
    <w:abstractNumId w:val="4"/>
  </w:num>
  <w:num w:numId="25">
    <w:abstractNumId w:val="38"/>
  </w:num>
  <w:num w:numId="26">
    <w:abstractNumId w:val="36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3"/>
  </w:num>
  <w:num w:numId="36">
    <w:abstractNumId w:val="32"/>
  </w:num>
  <w:num w:numId="37">
    <w:abstractNumId w:val="24"/>
    <w:lvlOverride w:ilvl="0">
      <w:startOverride w:val="1"/>
    </w:lvlOverride>
  </w:num>
  <w:num w:numId="38">
    <w:abstractNumId w:val="37"/>
  </w:num>
  <w:num w:numId="39">
    <w:abstractNumId w:val="35"/>
  </w:num>
  <w:num w:numId="40">
    <w:abstractNumId w:val="24"/>
    <w:lvlOverride w:ilvl="0">
      <w:startOverride w:val="1"/>
    </w:lvlOverride>
  </w:num>
  <w:num w:numId="41">
    <w:abstractNumId w:val="5"/>
  </w:num>
  <w:num w:numId="42">
    <w:abstractNumId w:val="27"/>
  </w:num>
  <w:num w:numId="43">
    <w:abstractNumId w:val="9"/>
  </w:num>
  <w:num w:numId="44">
    <w:abstractNumId w:val="34"/>
  </w:num>
  <w:num w:numId="45">
    <w:abstractNumId w:val="3"/>
  </w:num>
  <w:num w:numId="46">
    <w:abstractNumId w:val="11"/>
  </w:num>
  <w:num w:numId="47">
    <w:abstractNumId w:val="13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C27A1"/>
    <w:rsid w:val="0016531C"/>
    <w:rsid w:val="00270EB5"/>
    <w:rsid w:val="00385DC7"/>
    <w:rsid w:val="004D3818"/>
    <w:rsid w:val="006C3AAB"/>
    <w:rsid w:val="007D7136"/>
    <w:rsid w:val="00805313"/>
    <w:rsid w:val="0081330F"/>
    <w:rsid w:val="00AD72EC"/>
    <w:rsid w:val="00B7254A"/>
    <w:rsid w:val="00B96989"/>
    <w:rsid w:val="00C1551C"/>
    <w:rsid w:val="00C36BCB"/>
    <w:rsid w:val="00E22A59"/>
    <w:rsid w:val="00F45EFD"/>
    <w:rsid w:val="00F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2016-11-07T09:17:00Z</dcterms:created>
  <dcterms:modified xsi:type="dcterms:W3CDTF">2016-11-08T13:11:00Z</dcterms:modified>
</cp:coreProperties>
</file>